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0D" w:rsidRPr="004C2D0D" w:rsidRDefault="004C2D0D" w:rsidP="004C2D0D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>Komprehensif</w:t>
      </w:r>
      <w:proofErr w:type="spellEnd"/>
      <w:r w:rsidR="00B769A5">
        <w:rPr>
          <w:rFonts w:eastAsia="Times New Roman" w:cstheme="minorHAnsi"/>
          <w:color w:val="333333"/>
          <w:sz w:val="24"/>
          <w:szCs w:val="24"/>
          <w:bdr w:val="none" w:sz="0" w:space="0" w:color="auto" w:frame="1"/>
        </w:rPr>
        <w:t xml:space="preserve"> (Comprehensive Sexual Eduation)</w:t>
      </w:r>
      <w:bookmarkStart w:id="0" w:name="_GoBack"/>
      <w:bookmarkEnd w:id="0"/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Kenyataan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Advokasi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FIGIJ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Komprehensif</w:t>
      </w:r>
      <w:proofErr w:type="spellEnd"/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</w:pPr>
      <w:proofErr w:type="spellStart"/>
      <w:r w:rsidRPr="00CB19F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P</w:t>
      </w:r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engenalan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 </w:t>
      </w: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komprehensif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(CSE)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ialah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komponen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penting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pembangunan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reproduktif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sifat-sifat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penting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kedua-dua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individu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komuniti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ditakrifkan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oleh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Pertubuhan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Sedunia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(WHO)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pengajaran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pembelajaran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berasaskan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tentang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aspek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kognitif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emosi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fizikal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sosial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bertujuan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melengkapkan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golongan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muda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pengetahuan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kemahiran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sikap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proofErr w:type="gram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proofErr w:type="gram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memperkasakan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membangunkan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hubungan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sosial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menghormati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menggalakkan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manusia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maruah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Matlamat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Pembangunan Lestari (SDGs)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Pertubuhan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Bangsa-Bangsa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Bersatu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2030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menggariskan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kedua-dua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manusia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sejagat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serta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matlamat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kemajuan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SDGs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manusia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serta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berkualiti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“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setiap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individu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mempunyai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semua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aspek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pilihan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reproduktif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Hak-hak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dipersetujui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undang-undang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antarabangsa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FIGIJ, Persekutuan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Antarabangsa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Ginekologi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Pediatrik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sangat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pelaksanaan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secara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meluas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asasi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manusia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terbukti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dapat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meningkatkan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hasil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Kami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adalah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pakar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sakit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pakar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pediatrik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pakar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perubatan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penyedia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profesionnya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didedikasikan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mempromosikan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melindungi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reproduktif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FIGIJ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mengiktiraf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bukti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tegas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Kandungan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CSE</w:t>
      </w: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  <w:r w:rsidRPr="004C2D0D">
        <w:rPr>
          <w:rFonts w:eastAsia="Times New Roman" w:cstheme="minorHAnsi"/>
          <w:color w:val="666666"/>
          <w:sz w:val="24"/>
          <w:szCs w:val="24"/>
        </w:rPr>
        <w:br/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Pertubuhan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Bangsa-Bangsa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Bersatu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WHO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menerbitkan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Panduan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Teknikal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Antarabangsa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menggariskan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domain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utama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termasuk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Perhubungan</w:t>
      </w:r>
      <w:proofErr w:type="spellEnd"/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Budaya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Memahami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Jantina</w:t>
      </w:r>
      <w:proofErr w:type="spellEnd"/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Keganasan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kekal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selamat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Kemahiran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Tubuh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perkembangan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manusia</w:t>
      </w:r>
      <w:proofErr w:type="spellEnd"/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tingkah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laku</w:t>
      </w:r>
      <w:proofErr w:type="spellEnd"/>
    </w:p>
    <w:p w:rsidR="004C2D0D" w:rsidRPr="004C2D0D" w:rsidRDefault="004C2D0D" w:rsidP="004C2D0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reproduktif</w:t>
      </w:r>
      <w:proofErr w:type="spellEnd"/>
    </w:p>
    <w:p w:rsidR="004C2D0D" w:rsidRPr="00CB19F2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Domain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mempunyai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objektif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berasaskan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umur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boleh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disesuaikan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memenuhi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persekitaran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sosiobudaya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Topik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diliputi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oleh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CSE,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juga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boleh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dipanggil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lastRenderedPageBreak/>
        <w:t>kemahiran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hidup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kehidupan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keluarga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nama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lain,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termasuk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tetapi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tidak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terhad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kepada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keluarga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perhubungan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penghormatan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kesaksamaan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kepelbagaian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persetujuan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autonomi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positif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anatomi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akil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baligh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haid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kontraseptif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kehamilan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stigma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diskriminasi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berdasarkan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orientasi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identiti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jantina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jangkitan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termasuk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HIV.</w:t>
      </w:r>
    </w:p>
    <w:p w:rsidR="004C2D0D" w:rsidRPr="004C2D0D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Apabila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dilaksanakan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ia</w:t>
      </w:r>
      <w:proofErr w:type="spellEnd"/>
      <w:proofErr w:type="gram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ditunjukkan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kepada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pas</w:t>
      </w:r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intim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keganasan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berpacaran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zaman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tingkatkan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pendedahan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kejadian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buli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keganasan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berdasarkan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jantina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orientasi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melalui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pengurangan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stigma.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Menangguhkan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permulaan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aktiviti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kekerapan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hubungan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bilangan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pasangan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pengambilan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risiko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aktiviti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Tingkatkan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penggunaan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kondom</w:t>
      </w:r>
      <w:proofErr w:type="spellEnd"/>
    </w:p>
    <w:p w:rsidR="004C2D0D" w:rsidRPr="00CB19F2" w:rsidRDefault="004C2D0D" w:rsidP="004C2D0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Tingkatkan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penggunaan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kontraseptif</w:t>
      </w:r>
      <w:proofErr w:type="spellEnd"/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CSE: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Ancaman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Salah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Tanggapan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</w:rPr>
        <w:br/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Beberapa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tanggapan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ditimbulkan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terhadap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Ramalan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ini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termasuk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bahawa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membawa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kepada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permulaan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awal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pencemarkaan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pemikiran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suci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memperkenalkan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awal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sekolah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menghakis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budaya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agama,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atau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kekeluargaan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memberikan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maklumat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tentang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mungkin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sesuai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tetapi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tidak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kecil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mengurangkan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peranan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ibu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bapa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menyediakan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memberi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tugasan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kepada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guru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memberikan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kawasan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tidak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selesa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</w:p>
    <w:p w:rsidR="004C2D0D" w:rsidRPr="004C2D0D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Sebaliknya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di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negara-negara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di mana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diperkenalkan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ia</w:t>
      </w:r>
      <w:proofErr w:type="spellEnd"/>
      <w:proofErr w:type="gram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terbukti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melambatkan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debut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mempunyai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pengaruh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positif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keseluruhan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terhadap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orang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muda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harus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bersesuaian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umur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harus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dibangunkan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proses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dirancang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dari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awal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persekolahan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formal.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penekanan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pada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hubungan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positif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mengambil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kira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utama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relevan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budaya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atau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agama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konteks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komuniti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program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bertujuan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bekerjasama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ibu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bapa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melibatkan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Kebanyakan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guru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mempunyai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kemahiran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memberikan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maklumat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mengenal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pasti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keperluan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kebimbangan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pelajar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boleh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dilatih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kandungan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tetapi</w:t>
      </w:r>
      <w:proofErr w:type="spellEnd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bukan</w:t>
      </w:r>
      <w:proofErr w:type="spellEnd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menjadi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pakar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Peranan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adalah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melengkapkan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usaha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ibu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bapa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lastRenderedPageBreak/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mengenepikan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penyertaan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mereka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tidak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ternilai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Secara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keseluruhannya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ibu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bapa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seluruh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dunia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telah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secara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meluas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penyediaan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</w:t>
      </w:r>
    </w:p>
    <w:p w:rsidR="00CB19F2" w:rsidRPr="004C2D0D" w:rsidRDefault="00CB19F2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</w:pPr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FIGIJ </w:t>
      </w:r>
      <w:proofErr w:type="spellStart"/>
      <w:r w:rsidR="00CB19F2" w:rsidRPr="00CB19F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mendukung</w:t>
      </w:r>
      <w:proofErr w:type="spellEnd"/>
      <w:r w:rsidR="00CB19F2" w:rsidRPr="00CB19F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seruan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tindakan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berikut</w:t>
      </w:r>
      <w:proofErr w:type="spellEnd"/>
      <w:r w:rsidRPr="004C2D0D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</w:rPr>
        <w:t>:</w:t>
      </w:r>
    </w:p>
    <w:p w:rsidR="00CB19F2" w:rsidRPr="004C2D0D" w:rsidRDefault="00CB19F2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pengiktirafan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campur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tangan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penting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meningkatkan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kesejahteraan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FIGIJ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menggesa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seruan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bertindak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berikut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</w:p>
    <w:p w:rsidR="00CB19F2" w:rsidRPr="004C2D0D" w:rsidRDefault="00CB19F2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Kepada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kerajaan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masyarakat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hendaklah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</w:p>
    <w:p w:rsidR="00CB19F2" w:rsidRPr="00CB19F2" w:rsidRDefault="00CB19F2" w:rsidP="00CB19F2">
      <w:pPr>
        <w:spacing w:after="0" w:line="240" w:lineRule="auto"/>
        <w:ind w:left="360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Membangunkan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gabungan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pihak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berkepentingan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komuniti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termasuk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ibu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bapa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pemimpin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agama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kerajaan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komuniti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penyedia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penjagaan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belia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menyokong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pelaksanaan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yang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sensitif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budaya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kempen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balas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maklumat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salah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tanggapan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salah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tentang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</w:t>
      </w:r>
      <w:r w:rsidRPr="00CB19F2">
        <w:rPr>
          <w:rFonts w:eastAsia="Times New Roman" w:cstheme="minorHAnsi"/>
          <w:color w:val="666666"/>
          <w:sz w:val="24"/>
          <w:szCs w:val="24"/>
        </w:rPr>
        <w:br/>
      </w:r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Menunjukkan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sokongan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luas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menerima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pakai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Panduan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Teknikal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WHO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sebagai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sumber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</w:t>
      </w:r>
      <w:r w:rsidRPr="00CB19F2">
        <w:rPr>
          <w:rFonts w:eastAsia="Times New Roman" w:cstheme="minorHAnsi"/>
          <w:color w:val="666666"/>
          <w:sz w:val="24"/>
          <w:szCs w:val="24"/>
        </w:rPr>
        <w:br/>
      </w:r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Menyediakan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sokongan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kewangan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sumber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daripada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sektor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penjagaan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untuk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Seperti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imunisasi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, CSE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adalah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keperluan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penting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bagi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kanak-kanak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remaja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memerlukan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sokongan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pelaksanaan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daripada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sektor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  <w:r w:rsidRPr="00CB19F2">
        <w:rPr>
          <w:rFonts w:eastAsia="Times New Roman" w:cstheme="minorHAnsi"/>
          <w:color w:val="666666"/>
          <w:sz w:val="24"/>
          <w:szCs w:val="24"/>
        </w:rPr>
        <w:br/>
      </w:r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d.</w:t>
      </w:r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Melibatkan</w:t>
      </w:r>
      <w:proofErr w:type="spellEnd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diri</w:t>
      </w:r>
      <w:proofErr w:type="spellEnd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secara</w:t>
      </w:r>
      <w:proofErr w:type="spellEnd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19F2"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menyeluruh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bekerjasama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golongan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muda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penciptaan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pelaksanaan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</w:t>
      </w:r>
    </w:p>
    <w:p w:rsidR="00CB19F2" w:rsidRPr="00CB19F2" w:rsidRDefault="00CB19F2" w:rsidP="00CB19F2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4C2D0D" w:rsidP="00CB19F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Bahawa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penyedia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penjagaan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harus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</w:p>
    <w:p w:rsidR="00CB19F2" w:rsidRPr="00CB19F2" w:rsidRDefault="00CB19F2" w:rsidP="00CB19F2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4C2D0D" w:rsidRPr="00CB19F2" w:rsidRDefault="00CB19F2" w:rsidP="00CB19F2">
      <w:pPr>
        <w:spacing w:after="0" w:line="240" w:lineRule="auto"/>
        <w:ind w:left="360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</w:t>
      </w:r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enyokong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pelaksanaan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</w:t>
      </w:r>
      <w:r w:rsidR="004C2D0D" w:rsidRPr="004C2D0D">
        <w:rPr>
          <w:rFonts w:eastAsia="Times New Roman" w:cstheme="minorHAnsi"/>
          <w:color w:val="666666"/>
          <w:sz w:val="24"/>
          <w:szCs w:val="24"/>
        </w:rPr>
        <w:br/>
      </w:r>
      <w:proofErr w:type="gram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</w:t>
      </w:r>
      <w:proofErr w:type="gram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Memasukkan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9F2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pembelajaran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perubatan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kurikulum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kesihatan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bersekutu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.</w:t>
      </w:r>
      <w:r w:rsidR="004C2D0D" w:rsidRPr="004C2D0D">
        <w:rPr>
          <w:rFonts w:eastAsia="Times New Roman" w:cstheme="minorHAnsi"/>
          <w:color w:val="666666"/>
          <w:sz w:val="24"/>
          <w:szCs w:val="24"/>
        </w:rPr>
        <w:br/>
      </w:r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c.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Konsisten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amalan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kita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sendiri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dengan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prinsip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pendidikan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terdapat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dalam</w:t>
      </w:r>
      <w:proofErr w:type="spellEnd"/>
      <w:r w:rsidR="004C2D0D"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CSE.</w:t>
      </w:r>
    </w:p>
    <w:p w:rsidR="00CB19F2" w:rsidRPr="004C2D0D" w:rsidRDefault="00CB19F2" w:rsidP="00CB19F2">
      <w:pPr>
        <w:spacing w:after="0" w:line="240" w:lineRule="auto"/>
        <w:ind w:left="360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:rsidR="00CB19F2" w:rsidRPr="00CB19F2" w:rsidRDefault="00CB19F2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Rujukan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 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</w:rPr>
        <w:fldChar w:fldCharType="begin"/>
      </w:r>
      <w:r w:rsidRPr="004C2D0D">
        <w:rPr>
          <w:rFonts w:eastAsia="Times New Roman" w:cstheme="minorHAnsi"/>
          <w:color w:val="666666"/>
          <w:sz w:val="24"/>
          <w:szCs w:val="24"/>
        </w:rPr>
        <w:instrText xml:space="preserve"> HYPERLINK "https://www.who.int/publications/m/item/9789231002595" </w:instrText>
      </w:r>
      <w:r w:rsidRPr="004C2D0D">
        <w:rPr>
          <w:rFonts w:eastAsia="Times New Roman" w:cstheme="minorHAnsi"/>
          <w:color w:val="666666"/>
          <w:sz w:val="24"/>
          <w:szCs w:val="24"/>
        </w:rPr>
        <w:fldChar w:fldCharType="separate"/>
      </w:r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Panduan</w:t>
      </w:r>
      <w:proofErr w:type="spellEnd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Teknikal</w:t>
      </w:r>
      <w:proofErr w:type="spellEnd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Antarabangsa</w:t>
      </w:r>
      <w:proofErr w:type="spellEnd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 xml:space="preserve"> WHO </w:t>
      </w:r>
      <w:proofErr w:type="spellStart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mengenai</w:t>
      </w:r>
      <w:proofErr w:type="spellEnd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Pendidikan</w:t>
      </w:r>
      <w:proofErr w:type="spellEnd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2EA3F2"/>
          <w:sz w:val="24"/>
          <w:szCs w:val="24"/>
          <w:u w:val="single"/>
          <w:bdr w:val="none" w:sz="0" w:space="0" w:color="auto" w:frame="1"/>
        </w:rPr>
        <w:t>Seksualiti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</w:rPr>
        <w:fldChar w:fldCharType="end"/>
      </w:r>
    </w:p>
    <w:p w:rsidR="00CB19F2" w:rsidRPr="00CB19F2" w:rsidRDefault="00CB19F2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</w:pPr>
    </w:p>
    <w:p w:rsidR="004C2D0D" w:rsidRPr="004C2D0D" w:rsidRDefault="004C2D0D" w:rsidP="004C2D0D">
      <w:pPr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Pengarang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: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Angela Aguilar, Filipina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Anastasia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Vatopoulou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,Greece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Clara Di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Nunzio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Argentina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Daniela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Ivanova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Panova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North Macedonia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Ellen Rome, USA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Judith Simms-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Cendan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USA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Michalina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Drejza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Poland / United Kingdom</w:t>
      </w:r>
      <w:r w:rsidRPr="004C2D0D">
        <w:rPr>
          <w:rFonts w:eastAsia="Times New Roman" w:cstheme="minorHAnsi"/>
          <w:color w:val="666666"/>
          <w:sz w:val="24"/>
          <w:szCs w:val="24"/>
        </w:rPr>
        <w:br/>
      </w:r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 xml:space="preserve">Yasmin </w:t>
      </w:r>
      <w:proofErr w:type="spellStart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Jayasinghe</w:t>
      </w:r>
      <w:proofErr w:type="spellEnd"/>
      <w:r w:rsidRPr="004C2D0D">
        <w:rPr>
          <w:rFonts w:eastAsia="Times New Roman" w:cstheme="minorHAnsi"/>
          <w:color w:val="666666"/>
          <w:sz w:val="24"/>
          <w:szCs w:val="24"/>
          <w:bdr w:val="none" w:sz="0" w:space="0" w:color="auto" w:frame="1"/>
        </w:rPr>
        <w:t>, Australia</w:t>
      </w:r>
    </w:p>
    <w:p w:rsidR="007772C6" w:rsidRPr="00CB19F2" w:rsidRDefault="007772C6">
      <w:pPr>
        <w:rPr>
          <w:rFonts w:cstheme="minorHAnsi"/>
          <w:sz w:val="24"/>
          <w:szCs w:val="24"/>
        </w:rPr>
      </w:pPr>
    </w:p>
    <w:sectPr w:rsidR="007772C6" w:rsidRPr="00CB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A5E"/>
    <w:multiLevelType w:val="hybridMultilevel"/>
    <w:tmpl w:val="71C88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0A6"/>
    <w:multiLevelType w:val="hybridMultilevel"/>
    <w:tmpl w:val="4D9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841"/>
    <w:multiLevelType w:val="multilevel"/>
    <w:tmpl w:val="261E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2218E"/>
    <w:multiLevelType w:val="multilevel"/>
    <w:tmpl w:val="F55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0D"/>
    <w:rsid w:val="004C2D0D"/>
    <w:rsid w:val="007772C6"/>
    <w:rsid w:val="00B769A5"/>
    <w:rsid w:val="00C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8F15"/>
  <w15:chartTrackingRefBased/>
  <w15:docId w15:val="{76539D65-1306-4F8C-B3D2-1722CCE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SmartRental</dc:creator>
  <cp:keywords/>
  <dc:description/>
  <cp:lastModifiedBy>SmartRental</cp:lastModifiedBy>
  <cp:revision>2</cp:revision>
  <dcterms:created xsi:type="dcterms:W3CDTF">2024-08-09T00:19:00Z</dcterms:created>
  <dcterms:modified xsi:type="dcterms:W3CDTF">2024-08-09T03:06:00Z</dcterms:modified>
</cp:coreProperties>
</file>