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79" w:rsidRDefault="006C3779" w:rsidP="006C3779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</w:pPr>
      <w:proofErr w:type="spellStart"/>
      <w:r w:rsidRPr="006C377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Pengguguran</w:t>
      </w:r>
      <w:proofErr w:type="spellEnd"/>
      <w:r w:rsidR="002C3E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 xml:space="preserve"> (Abortion)</w:t>
      </w:r>
      <w:bookmarkStart w:id="0" w:name="_GoBack"/>
      <w:bookmarkEnd w:id="0"/>
    </w:p>
    <w:p w:rsidR="006C3779" w:rsidRPr="006C3779" w:rsidRDefault="006C3779" w:rsidP="006C3779">
      <w:pPr>
        <w:spacing w:after="0" w:line="240" w:lineRule="atLeast"/>
        <w:textAlignment w:val="baseline"/>
        <w:outlineLvl w:val="4"/>
        <w:rPr>
          <w:rFonts w:ascii="Arial" w:eastAsia="Times New Roman" w:hAnsi="Arial" w:cs="Arial"/>
          <w:color w:val="333333"/>
          <w:sz w:val="24"/>
          <w:szCs w:val="24"/>
        </w:rPr>
      </w:pPr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Kenyataan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Advokasi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FIGIJ: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Keperluan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FIGIJ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tanpa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had global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Default="006C3779" w:rsidP="006C37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Pengenalan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tujuan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: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Demografi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global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</w:t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WHO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menganggarkan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2019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bahawa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berumur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15–19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berpendapatan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sederhana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(LMIC)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mempunyai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anggaran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21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setiap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tahun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di mana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kira-kira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50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%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daripadanya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dirancang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kebanyakan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,</w:t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punca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utama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juga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menyumbang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morbiditi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).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krisis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global,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seperti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pandemik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iaitu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COVID-19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virus Ebola),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terdedah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penderaan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selalunya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mengakibatkan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diingini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/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perkahwinan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awal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berpendapatan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diagihkan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saksama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komuniti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berpendapatan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kurang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mendapat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Default="006C3779" w:rsidP="006C37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komponen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penting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penting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terutamanya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mempunyai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peratusan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diingini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morbiditi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mortaliti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tinggi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masalah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awam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seluruh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dunia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Default="006C3779" w:rsidP="006C37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sesetengah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dihadkan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sepenuhnya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semua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Peraturan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ketat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mengenai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khusus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menyasarkan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walaupun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menghalalkan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tempoh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menunggu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keperluan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pemberitahuan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/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persetujuan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bapa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perjalanan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merentas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sempadan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FIGIJ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saranan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Garis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Panduan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WHO 2022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penyahkriminalisasian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</w:t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hadkan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:</w:t>
      </w:r>
    </w:p>
    <w:p w:rsidR="006C3779" w:rsidRPr="006C3779" w:rsidRDefault="006C3779" w:rsidP="006C377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Peningkatan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kesusahan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rasa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malu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mendapatkan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Kekurangan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sistem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mantap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pengumpulan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analisis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data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objektif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tentang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bilangan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gadis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ingin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menggugurkan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kandungan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jurang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pengetahuan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Peningkatan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morbiditi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kalangan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terbabit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Hilang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kepercayaan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terhadap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sistem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Mencari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melalui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saluran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</w:p>
    <w:p w:rsidR="006C3779" w:rsidRPr="006C3779" w:rsidRDefault="006C3779" w:rsidP="006C3779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Terlepas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peluang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pesakit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mengelakkan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diingini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berikutnya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</w:t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hadkan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penyedia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:</w:t>
      </w:r>
    </w:p>
    <w:p w:rsidR="006C3779" w:rsidRPr="006C3779" w:rsidRDefault="006C3779" w:rsidP="006C3779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Pertimbangan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semula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penolakan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berasaskan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bukti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mengikut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garis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panduan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antarabangsa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lastRenderedPageBreak/>
        <w:t>Takut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akibat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undang-undang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menyediakan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berbanding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: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Soal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akses</w:t>
      </w:r>
      <w:proofErr w:type="spellEnd"/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6C3779" w:rsidRDefault="006C3779" w:rsidP="002C3E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Kedua-dua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pembedahan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bahagian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penting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dilakukan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persekitaran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klinikal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kematian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semasa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bersalin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besar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10 kali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ganda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berbanding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komplikasi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dilakukan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oleh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doctor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terlatih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sangat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bertentangan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mitos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menjejaskan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kesuburan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masa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depan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meningkatkan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risiko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kanser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2C3E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Default="006C3779" w:rsidP="002C3E7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Dari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segi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sejarah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global 45%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berlaku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luar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persekitaran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majoriti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negara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berpendapatan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rendah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sederhana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(LMIC).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Ramai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diingini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menghadapi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halangan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mendapatkan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tepat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masanya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berpatutan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boleh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dicapai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secara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geografi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hormat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diskriminasi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menyebabkan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sering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menggunakan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remedi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rumah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individu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mahir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mendapatkan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mengakibatkan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amalan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. Data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menunjukkan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bahawa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menghalang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orang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ramai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mendapatkan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proofErr w:type="gram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ia</w:t>
      </w:r>
      <w:proofErr w:type="spellEnd"/>
      <w:proofErr w:type="gram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menjadikannya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lebih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membawa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maut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perlu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menghadapi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mengurus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stigma,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kekurangan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kerahsiaan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mengatasi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halangan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sistemik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sosial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budaya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ketara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Keperluan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persetujuan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bapa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sebelah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para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doktor</w:t>
      </w:r>
      <w:proofErr w:type="spellEnd"/>
      <w:r w:rsidR="002C3E78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2C3E78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="002C3E78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stigma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golongan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muda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2C3E78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menghalang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belia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mereka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perlukan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layak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2C3E78" w:rsidRPr="006C3779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Selaras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WHO, FIGIJ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luas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semua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kerana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ia</w:t>
      </w:r>
      <w:proofErr w:type="spellEnd"/>
      <w:proofErr w:type="gram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per</w:t>
      </w:r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sendirian</w:t>
      </w:r>
      <w:proofErr w:type="spellEnd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kos</w:t>
      </w:r>
      <w:proofErr w:type="spellEnd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efektif</w:t>
      </w:r>
      <w:proofErr w:type="spellEnd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="002C3E78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meng</w:t>
      </w:r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hadkan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keperluan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pengangkutan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lawatan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klinik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.</w:t>
      </w:r>
    </w:p>
    <w:p w:rsidR="002C3E78" w:rsidRPr="006C3779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FIGIJ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spektrum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penuh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kecemasan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.</w:t>
      </w: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:</w:t>
      </w:r>
    </w:p>
    <w:p w:rsidR="006C3779" w:rsidRPr="006C3779" w:rsidRDefault="006C3779" w:rsidP="006C377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Menyediakan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gadis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maklumat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perancangan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keluarga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tepat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berkualiti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Menyediakan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campuran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kaedah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sesuai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urus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sendiri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pembedahan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)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semua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pesakit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berdasarkan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nilai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keutamaan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wanita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perempuan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serta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sumber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Melatih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profesional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menyediakan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berkualiti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pemahaman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tafsiran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sesuai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tentang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undang-undang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dasar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mengawal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amalan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ini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Kakitangan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profesional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menawarkan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dalam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jangkauan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pesakit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lastRenderedPageBreak/>
        <w:t>Menyokong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melindungi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profesional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pesakit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stigmatisasi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Pengiktirafan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bahawa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boleh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berlaku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disebabkan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keganasan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/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paksaan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memerlukan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langkah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perlindungan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sewajarnya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selepas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harus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penuh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kaunseling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serta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sokongan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mental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menghakimi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Sila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lihat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advokasi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FIGIJ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menyatakan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"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LARC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mencegah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"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"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mental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kanak-kanak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perspektif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PAG ".</w:t>
      </w: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Kesimpulan</w:t>
      </w:r>
      <w:proofErr w:type="spellEnd"/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asasi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manusia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-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-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harus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dihormati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dilindungi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dipromosikan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oleh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masyarakat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profesional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Perundangan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progresif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menyahkriminalisasikan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menjunjung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Panggilan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</w:rPr>
        <w:t>bertindak</w:t>
      </w:r>
      <w:proofErr w:type="spellEnd"/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● FIGIJ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pendidikan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seksualiti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kesihatan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reproduktif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rangkaian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penuh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pilihan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kontraseptif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kecemasan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untuk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mengurangkan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kehamilan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tidak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dirancang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● FIGIJ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akses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sah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selamat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rangkaian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penuh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perkhidmatan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sebagai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sebahagian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daripada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penjagaan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perubatan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komprehensif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● FIGIJ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dekriminalisasi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penuh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seperti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disyorkan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oleh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WHO.</w:t>
      </w: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● FIGIJ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menyokong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penghapusan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sekatan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pengguguran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yang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ditujukan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khusus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kepada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remaja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termasuk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kebenaran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pihak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ketiga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/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atau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pemberitahuan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bapa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undang-undang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kebenaran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ibu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bapa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.</w:t>
      </w: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2C3E78" w:rsidRDefault="002C3E78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</w:pPr>
    </w:p>
    <w:p w:rsidR="006C3779" w:rsidRPr="006C3779" w:rsidRDefault="006C3779" w:rsidP="006C3779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@ 2023</w:t>
      </w:r>
      <w:r w:rsidRPr="006C3779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Mariela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Orti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, Argentina</w:t>
      </w:r>
      <w:r w:rsidRPr="006C3779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Evelien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Roos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Belanda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Anastasia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Vatopoulou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, Greece</w:t>
      </w:r>
      <w:r w:rsidRPr="006C3779">
        <w:rPr>
          <w:rFonts w:ascii="Arial" w:eastAsia="Times New Roman" w:hAnsi="Arial" w:cs="Arial"/>
          <w:color w:val="666666"/>
          <w:sz w:val="21"/>
          <w:szCs w:val="21"/>
        </w:rPr>
        <w:br/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Michalina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Drejza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 xml:space="preserve">, Poland/United Kingdom Clara Di 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Nunzio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, Argentina</w:t>
      </w:r>
      <w:r w:rsidRPr="006C3779">
        <w:rPr>
          <w:rFonts w:ascii="Arial" w:eastAsia="Times New Roman" w:hAnsi="Arial" w:cs="Arial"/>
          <w:color w:val="666666"/>
          <w:sz w:val="21"/>
          <w:szCs w:val="21"/>
        </w:rPr>
        <w:br/>
      </w:r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Judith Simms-</w:t>
      </w:r>
      <w:proofErr w:type="spellStart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Cendan</w:t>
      </w:r>
      <w:proofErr w:type="spellEnd"/>
      <w:r w:rsidRPr="006C3779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</w:rPr>
        <w:t>, Amerika Syarikat</w:t>
      </w:r>
    </w:p>
    <w:p w:rsidR="00CB6CD9" w:rsidRDefault="00CB6CD9"/>
    <w:sectPr w:rsidR="00CB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B1D41"/>
    <w:multiLevelType w:val="multilevel"/>
    <w:tmpl w:val="1760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73549"/>
    <w:multiLevelType w:val="multilevel"/>
    <w:tmpl w:val="02C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1F160F"/>
    <w:multiLevelType w:val="multilevel"/>
    <w:tmpl w:val="EF3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972E2D"/>
    <w:multiLevelType w:val="multilevel"/>
    <w:tmpl w:val="6858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79"/>
    <w:rsid w:val="002C3E78"/>
    <w:rsid w:val="006C3779"/>
    <w:rsid w:val="00C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C4EF"/>
  <w15:chartTrackingRefBased/>
  <w15:docId w15:val="{FC52ACBE-4BA9-448B-8BE5-512B69C8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2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SmartRental</dc:creator>
  <cp:keywords/>
  <dc:description/>
  <cp:lastModifiedBy>SmartRental</cp:lastModifiedBy>
  <cp:revision>1</cp:revision>
  <dcterms:created xsi:type="dcterms:W3CDTF">2024-08-09T02:50:00Z</dcterms:created>
  <dcterms:modified xsi:type="dcterms:W3CDTF">2024-08-09T03:06:00Z</dcterms:modified>
</cp:coreProperties>
</file>